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1390247" w14:textId="423446A3" w:rsidR="002609D9" w:rsidRDefault="00A52932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bookmarkStart w:id="0" w:name="_Hlk167269979"/>
      <w:r w:rsidRPr="00A52932">
        <w:rPr>
          <w:b/>
          <w:sz w:val="23"/>
          <w:szCs w:val="23"/>
        </w:rPr>
        <w:t xml:space="preserve">ЛОТ 423-24 </w:t>
      </w:r>
      <w:proofErr w:type="gramStart"/>
      <w:r w:rsidRPr="00A52932">
        <w:rPr>
          <w:b/>
          <w:sz w:val="23"/>
          <w:szCs w:val="23"/>
        </w:rPr>
        <w:t>[ СП</w:t>
      </w:r>
      <w:proofErr w:type="gramEnd"/>
      <w:r w:rsidRPr="00A52932">
        <w:rPr>
          <w:b/>
          <w:sz w:val="23"/>
          <w:szCs w:val="23"/>
        </w:rPr>
        <w:t>-10] (Редукцион) Поставка расходных материалов на 3-й квартал для нужд отдела производства ГК Богатырь</w:t>
      </w:r>
    </w:p>
    <w:bookmarkEnd w:id="0"/>
    <w:p w14:paraId="78950D12" w14:textId="3A544EF7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A52932">
        <w:rPr>
          <w:sz w:val="23"/>
          <w:szCs w:val="23"/>
          <w:lang w:eastAsia="ru-RU"/>
        </w:rPr>
        <w:t>15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</w:t>
      </w:r>
      <w:r w:rsidR="00A52932">
        <w:rPr>
          <w:sz w:val="23"/>
          <w:szCs w:val="23"/>
          <w:lang w:eastAsia="ru-RU"/>
        </w:rPr>
        <w:t>л</w:t>
      </w:r>
      <w:r w:rsidR="00714345">
        <w:rPr>
          <w:sz w:val="23"/>
          <w:szCs w:val="23"/>
          <w:lang w:eastAsia="ru-RU"/>
        </w:rPr>
        <w:t>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0B12ADFF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A52932">
        <w:rPr>
          <w:bCs/>
          <w:sz w:val="23"/>
          <w:szCs w:val="23"/>
        </w:rPr>
        <w:t>15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>июля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332375B4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A52932" w:rsidRPr="00A52932">
        <w:rPr>
          <w:sz w:val="23"/>
          <w:szCs w:val="23"/>
        </w:rPr>
        <w:t>Поставка расходных материалов на 3-й квартал для нужд отдела производства ГК Богатырь</w:t>
      </w:r>
      <w:r w:rsidR="005F28FE" w:rsidRPr="002609D9">
        <w:rPr>
          <w:sz w:val="23"/>
          <w:szCs w:val="23"/>
        </w:rPr>
        <w:t>».</w:t>
      </w:r>
    </w:p>
    <w:p w14:paraId="39004923" w14:textId="27B38E59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09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714345">
        <w:rPr>
          <w:rFonts w:eastAsia="Arial"/>
          <w:sz w:val="23"/>
          <w:szCs w:val="23"/>
        </w:rPr>
        <w:t>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76832C15" w14:textId="77777777" w:rsidR="00A52932" w:rsidRPr="00A52932" w:rsidRDefault="00A52932" w:rsidP="00A52932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A52932">
        <w:rPr>
          <w:rFonts w:eastAsiaTheme="minorEastAsia" w:cstheme="minorBidi"/>
          <w:sz w:val="24"/>
          <w:szCs w:val="24"/>
          <w:lang w:eastAsia="ru-RU"/>
        </w:rPr>
        <w:t>Сумма единиц всех видов товара: - 21 619 (двадцать одна тысяча шестьсот девятнадцать) рублей 03 копейки, в т.ч. НДС 20%.</w:t>
      </w:r>
    </w:p>
    <w:p w14:paraId="326E97F3" w14:textId="0A83C246" w:rsidR="002609D9" w:rsidRDefault="00A52932" w:rsidP="00A52932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A52932">
        <w:rPr>
          <w:rFonts w:eastAsiaTheme="minorEastAsia" w:cstheme="minorBidi"/>
          <w:sz w:val="24"/>
          <w:szCs w:val="24"/>
          <w:lang w:eastAsia="ru-RU"/>
        </w:rPr>
        <w:t xml:space="preserve">     Предельная цена Договора 845 208 (восемьсот сорок пять тысяч двести восемь) рублей 00 копеек, в том числе НДС 20% - 140868 (сто сорок тысяч восемьсот шестьдесят восемь) рублей 00 копеек.</w:t>
      </w:r>
      <w:r w:rsidR="002609D9" w:rsidRPr="002609D9">
        <w:rPr>
          <w:rFonts w:eastAsiaTheme="minorEastAsia" w:cstheme="minorBidi"/>
          <w:sz w:val="24"/>
          <w:szCs w:val="24"/>
          <w:lang w:eastAsia="ru-RU"/>
        </w:rPr>
        <w:t xml:space="preserve"> 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6E345FE6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A52932">
        <w:rPr>
          <w:rFonts w:eastAsia="Arial"/>
          <w:sz w:val="23"/>
          <w:szCs w:val="23"/>
        </w:rPr>
        <w:t>15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A52932">
        <w:rPr>
          <w:rFonts w:eastAsia="Arial"/>
          <w:sz w:val="23"/>
          <w:szCs w:val="23"/>
        </w:rPr>
        <w:t>7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714345">
        <w:rPr>
          <w:rFonts w:eastAsia="Arial"/>
          <w:sz w:val="23"/>
          <w:szCs w:val="23"/>
        </w:rPr>
        <w:t>2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714345">
        <w:rPr>
          <w:rFonts w:eastAsia="Arial"/>
          <w:sz w:val="23"/>
          <w:szCs w:val="23"/>
        </w:rPr>
        <w:t>две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714345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364615FF" w:rsidR="00B3448A" w:rsidRPr="00092DFC" w:rsidRDefault="00A52932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A52932">
              <w:rPr>
                <w:rFonts w:eastAsia="Arial"/>
                <w:b/>
                <w:bCs/>
                <w:sz w:val="23"/>
                <w:szCs w:val="23"/>
              </w:rPr>
              <w:t>Заявка № 7192 от 11.07.2024 11:34:00</w:t>
            </w:r>
          </w:p>
        </w:tc>
        <w:tc>
          <w:tcPr>
            <w:tcW w:w="7655" w:type="dxa"/>
          </w:tcPr>
          <w:p w14:paraId="25815846" w14:textId="5B08DA8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ООО ЮгТрейд-1</w:t>
            </w:r>
          </w:p>
        </w:tc>
      </w:tr>
      <w:tr w:rsidR="00714345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60EFC6A7" w:rsidR="00714345" w:rsidRPr="00714345" w:rsidRDefault="00A52932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A52932">
              <w:rPr>
                <w:rFonts w:eastAsia="Arial"/>
                <w:b/>
                <w:bCs/>
                <w:sz w:val="23"/>
                <w:szCs w:val="23"/>
              </w:rPr>
              <w:t>Заявка № 7194 от 11.07.2024 11:47:49</w:t>
            </w:r>
          </w:p>
        </w:tc>
        <w:tc>
          <w:tcPr>
            <w:tcW w:w="7655" w:type="dxa"/>
          </w:tcPr>
          <w:p w14:paraId="1F480DF5" w14:textId="3C851961" w:rsidR="00714345" w:rsidRPr="00092DFC" w:rsidRDefault="00714345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АО Оптиком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lastRenderedPageBreak/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31E348C4" w14:textId="6BDCFAFD" w:rsidR="00A52932" w:rsidRDefault="00A52932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A52932">
        <w:rPr>
          <w:bCs/>
          <w:sz w:val="23"/>
          <w:szCs w:val="23"/>
        </w:rPr>
        <w:t>Заявка № 7192 от 11.07.2024 11:34:00</w:t>
      </w:r>
      <w:r>
        <w:rPr>
          <w:bCs/>
          <w:sz w:val="23"/>
          <w:szCs w:val="23"/>
        </w:rPr>
        <w:t xml:space="preserve"> ООО ЮгТрейд-1</w:t>
      </w:r>
    </w:p>
    <w:p w14:paraId="6A96D5C6" w14:textId="2DEDBDB5" w:rsidR="00A52932" w:rsidRDefault="00A52932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A52932">
        <w:rPr>
          <w:sz w:val="23"/>
          <w:szCs w:val="23"/>
        </w:rPr>
        <w:t>Заявка № 7194 от 11.07.2024 11:47:49</w:t>
      </w:r>
      <w:r>
        <w:rPr>
          <w:sz w:val="23"/>
          <w:szCs w:val="23"/>
        </w:rPr>
        <w:t xml:space="preserve"> АО Оптиком</w:t>
      </w:r>
    </w:p>
    <w:p w14:paraId="1EBEFF18" w14:textId="776B4DDC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5A5469F9" w:rsidR="00A864C1" w:rsidRPr="00092DFC" w:rsidRDefault="00A52932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>
        <w:rPr>
          <w:bCs/>
          <w:sz w:val="23"/>
          <w:szCs w:val="23"/>
        </w:rPr>
        <w:t>15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>7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08918DD3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52932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1CA2D99F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A52932">
        <w:rPr>
          <w:bCs/>
          <w:sz w:val="24"/>
          <w:szCs w:val="24"/>
        </w:rPr>
        <w:t>Столяренко Ю.О.</w:t>
      </w:r>
      <w:bookmarkStart w:id="9" w:name="_GoBack"/>
      <w:bookmarkEnd w:id="9"/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54A8E96E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15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9F6CC1">
        <w:rPr>
          <w:rFonts w:eastAsia="Arial"/>
          <w:sz w:val="23"/>
          <w:szCs w:val="23"/>
        </w:rPr>
        <w:t>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932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1FB0A-2786-45C4-8B88-F7019935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2024-07-15T09:09:00Z</dcterms:created>
  <dcterms:modified xsi:type="dcterms:W3CDTF">2024-07-15T09:09:00Z</dcterms:modified>
</cp:coreProperties>
</file>